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para1"/>
        <w:ind w:firstLine="539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para1"/>
        <w:ind w:firstLine="539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контрольно-ревизионного сектора  по осуществлению внутреннего финансового аудита </w:t>
      </w:r>
    </w:p>
    <w:p>
      <w:pPr>
        <w:pStyle w:val="para1"/>
        <w:ind w:firstLine="539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в финансовом отделе Администрации Мартыновского района за 2021 год</w:t>
      </w:r>
    </w:p>
    <w:p>
      <w:pPr>
        <w:pStyle w:val="para1"/>
        <w:ind w:firstLine="539"/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899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Информация о выполнении плана проведения аудиторских мероприятий за отчетный год:</w:t>
      </w:r>
    </w:p>
    <w:p>
      <w:pPr>
        <w:pStyle w:val="para1"/>
        <w:ind w:left="539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>
        <w:rPr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72" w:type="dxa"/>
        <w:tblW w:w="15451" w:type="dxa"/>
        <w:tblLook w:val="0000" w:firstRow="0" w:lastRow="0" w:firstColumn="0" w:lastColumn="0" w:noHBand="0" w:noVBand="0"/>
      </w:tblPr>
      <w:tblGrid>
        <w:gridCol w:w="710"/>
        <w:gridCol w:w="3118"/>
        <w:gridCol w:w="2551"/>
        <w:gridCol w:w="3402"/>
        <w:gridCol w:w="3260"/>
        <w:gridCol w:w="2410"/>
      </w:tblGrid>
      <w:tr>
        <w:trPr>
          <w:tblHeader w:val="0"/>
          <w:cantSplit/>
          <w:trHeight w:val="1037" w:hRule="atLeast"/>
        </w:trPr>
        <w:tc>
          <w:tcPr>
            <w:tcW w:w="710" w:type="dxa"/>
            <w:vMerge w:val="restart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  <w:br w:type="textWrapping"/>
              <w:t>п/п</w:t>
            </w:r>
          </w:p>
        </w:tc>
        <w:tc>
          <w:tcPr>
            <w:tcW w:w="3118" w:type="dxa"/>
            <w:vMerge w:val="restart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</w:t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2551" w:type="dxa"/>
            <w:vMerge w:val="restart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Тема аудиторского мероприятия, бюджетная процедура</w:t>
            </w:r>
          </w:p>
        </w:tc>
        <w:tc>
          <w:tcPr>
            <w:tcW w:w="6662" w:type="dxa"/>
            <w:gridSpan w:val="2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по результатам внутреннего  финансового</w:t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аудита, подтверждающая</w:t>
            </w:r>
          </w:p>
        </w:tc>
        <w:tc>
          <w:tcPr>
            <w:tcW w:w="2410" w:type="dxa"/>
            <w:vMerge w:val="restart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598" w:hRule="atLeast"/>
        </w:trPr>
        <w:tc>
          <w:tcPr>
            <w:tcW w:w="710" w:type="dxa"/>
            <w:vMerge/>
            <w:tcMar>
              <w:left w:w="70" w:type="dxa"/>
              <w:right w:w="7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/>
        </w:tc>
        <w:tc>
          <w:tcPr>
            <w:tcW w:w="3118" w:type="dxa"/>
            <w:vMerge/>
            <w:tcMar>
              <w:left w:w="70" w:type="dxa"/>
              <w:right w:w="7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/>
        </w:tc>
        <w:tc>
          <w:tcPr>
            <w:tcW w:w="2551" w:type="dxa"/>
            <w:vMerge/>
            <w:tcMar>
              <w:left w:w="70" w:type="dxa"/>
              <w:right w:w="7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/>
        </w:tc>
        <w:tc>
          <w:tcPr>
            <w:tcW w:w="3402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3260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2410" w:type="dxa"/>
            <w:vMerge/>
            <w:tcMar>
              <w:left w:w="70" w:type="dxa"/>
              <w:right w:w="7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/>
        </w:tc>
      </w:tr>
      <w:tr>
        <w:trPr>
          <w:tblHeader w:val="0"/>
          <w:cantSplit/>
          <w:trHeight w:val="1204" w:hRule="atLeast"/>
        </w:trPr>
        <w:tc>
          <w:tcPr>
            <w:tcW w:w="710" w:type="dxa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Сектор учета и  отчетности </w:t>
            </w:r>
          </w:p>
        </w:tc>
        <w:tc>
          <w:tcPr>
            <w:tcW w:w="2551" w:type="dxa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учетной политики</w:t>
            </w:r>
          </w:p>
        </w:tc>
        <w:tc>
          <w:tcPr>
            <w:tcW w:w="3402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внутренний финансовый контроль считается надежным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>
        <w:trPr>
          <w:tblHeader w:val="0"/>
          <w:cantSplit/>
          <w:trHeight w:val="1474" w:hRule="atLeast"/>
        </w:trPr>
        <w:tc>
          <w:tcPr>
            <w:tcW w:w="710" w:type="dxa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учета и отчетности</w:t>
            </w:r>
          </w:p>
        </w:tc>
        <w:tc>
          <w:tcPr>
            <w:tcW w:w="2551" w:type="dxa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Составление и представление бюджетной отчетности</w:t>
            </w:r>
          </w:p>
        </w:tc>
        <w:tc>
          <w:tcPr>
            <w:tcW w:w="3402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внутренний финансовый контроль считается надежным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 достоверна</w:t>
            </w:r>
          </w:p>
        </w:tc>
        <w:tc>
          <w:tcPr>
            <w:tcW w:w="2410" w:type="dxa"/>
            <w:vAlign w:val="center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3612300" protected="0"/>
          </w:tcPr>
          <w:p>
            <w:pPr>
              <w:pStyle w:val="para2"/>
              <w:spacing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отчету о результатах мониторинга качества финансового менеджмента по ГРБС за 2020 год общее значение целевых показателей качества финансового менеджмента в финансовом отделе Администрации Мартыновского района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82,63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деятельности контрольно-ревизионного сектора, направленной на решение задач внутреннего финансового аудита, включая информацию о наиболее значимых: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предложения и рекомендации:</w:t>
      </w:r>
    </w:p>
    <w:p>
      <w:pPr>
        <w:pStyle w:val="para4"/>
        <w:ind w:firstLine="540"/>
        <w:spacing w:before="22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по внутреннему финансовому аудиту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  <w:t>оставление и представление бюджетной отчетности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- продолжить работу по совершенствованию автоматизированной формы ведения учета с применением программных продуктов, применение (использование) которых направлено на развитие внутреннего финансового контроля и обеспечение качественного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и эффективного исполнения бюджетных процедур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;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 (или) недостатки, бюджетные риски, а также значимые остаточные бюджетные риски –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(необходимые к принятию) меры по повышению качества финансового менеджмента и минимизации (устранению) бюджетных рисков –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мер по минимизации (устранению) бюджетных рисков –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оказавшие существенное влияние на организацию и осуществление внутреннего финансового аудита, а также на деятельность контрольно-ревизионного сектора –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контрольно-ревизионном секторе, в том числе о его подчиненности, штатной и фактической численности, а также о принятых мерах по повышению квалификации должностных лиц –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>Контрольно-ревизионный сектор  финансового отдеа Администрации Мартыновского района является структурным подразделением финансового отдела Администрации Мартыновского района и находится в непосредственном подчинении заведующего финансовым отделом. Штатная численность на 01.01.2022 – 3ед., фактическая – 3 ед</w:t>
      </w:r>
      <w:r>
        <w:rPr>
          <w:rFonts w:ascii="Times New Roman" w:hAnsi="Times New Roman" w:cs="Times New Roman"/>
          <w:sz w:val="28"/>
          <w:szCs w:val="28"/>
        </w:rPr>
        <w:t>. Сотрудники контрольно-ревизионного сектора регулярно проходят курсы повышения квалификации по различным направлениям контрольной деятельности, участвуют в семинарах и видеоконференциях.</w:t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ind w:firstLine="54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15353" w:type="dxa"/>
        <w:tblLook w:val="04A0" w:firstRow="1" w:lastRow="0" w:firstColumn="1" w:lastColumn="0" w:noHBand="0" w:noVBand="1"/>
      </w:tblPr>
      <w:tblGrid>
        <w:gridCol w:w="7676"/>
        <w:gridCol w:w="7677"/>
      </w:tblGrid>
      <w:tr>
        <w:trPr>
          <w:tblHeader w:val="0"/>
          <w:cantSplit w:val="0"/>
          <w:trHeight w:val="0" w:hRule="auto"/>
        </w:trPr>
        <w:tc>
          <w:tcPr>
            <w:tcW w:w="7676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43612300" protected="0"/>
          </w:tcPr>
          <w:p>
            <w:pPr>
              <w:ind w:right="-53"/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Начальник контрольно-</w:t>
            </w:r>
          </w:p>
          <w:p>
            <w:pPr>
              <w:ind w:right="-53"/>
              <w:spacing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ревизионного сектора     </w:t>
            </w:r>
            <w:r>
              <w:rPr>
                <w:sz w:val="26"/>
                <w:szCs w:val="26"/>
              </w:rPr>
            </w:r>
          </w:p>
        </w:tc>
        <w:tc>
          <w:tcPr>
            <w:tcW w:w="7677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43612300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                                                                            Е.В. Ниценко</w:t>
            </w:r>
            <w:r>
              <w:rPr>
                <w:sz w:val="26"/>
                <w:szCs w:val="26"/>
              </w:rPr>
            </w:r>
          </w:p>
        </w:tc>
      </w:tr>
    </w:tbl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28.01.2022 года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567" w:bottom="993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539" w:hanging="0"/>
      </w:pPr>
    </w:lvl>
    <w:lvl w:ilvl="1">
      <w:start w:val="1"/>
      <w:numFmt w:val="lowerLetter"/>
      <w:suff w:val="tab"/>
      <w:lvlText w:val="%2."/>
      <w:lvlJc w:val="left"/>
      <w:pPr>
        <w:ind w:left="1259" w:hanging="0"/>
      </w:pPr>
    </w:lvl>
    <w:lvl w:ilvl="2">
      <w:start w:val="1"/>
      <w:numFmt w:val="lowerRoman"/>
      <w:suff w:val="tab"/>
      <w:lvlText w:val="%3."/>
      <w:lvlJc w:val="left"/>
      <w:pPr>
        <w:ind w:left="2159" w:hanging="0"/>
      </w:pPr>
    </w:lvl>
    <w:lvl w:ilvl="3">
      <w:start w:val="1"/>
      <w:numFmt w:val="decimal"/>
      <w:suff w:val="tab"/>
      <w:lvlText w:val="%4."/>
      <w:lvlJc w:val="left"/>
      <w:pPr>
        <w:ind w:left="2699" w:hanging="0"/>
      </w:pPr>
    </w:lvl>
    <w:lvl w:ilvl="4">
      <w:start w:val="1"/>
      <w:numFmt w:val="lowerLetter"/>
      <w:suff w:val="tab"/>
      <w:lvlText w:val="%5."/>
      <w:lvlJc w:val="left"/>
      <w:pPr>
        <w:ind w:left="3419" w:hanging="0"/>
      </w:pPr>
    </w:lvl>
    <w:lvl w:ilvl="5">
      <w:start w:val="1"/>
      <w:numFmt w:val="lowerRoman"/>
      <w:suff w:val="tab"/>
      <w:lvlText w:val="%6."/>
      <w:lvlJc w:val="left"/>
      <w:pPr>
        <w:ind w:left="4319" w:hanging="0"/>
      </w:pPr>
    </w:lvl>
    <w:lvl w:ilvl="6">
      <w:start w:val="1"/>
      <w:numFmt w:val="decimal"/>
      <w:suff w:val="tab"/>
      <w:lvlText w:val="%7."/>
      <w:lvlJc w:val="left"/>
      <w:pPr>
        <w:ind w:left="4859" w:hanging="0"/>
      </w:pPr>
    </w:lvl>
    <w:lvl w:ilvl="7">
      <w:start w:val="1"/>
      <w:numFmt w:val="lowerLetter"/>
      <w:suff w:val="tab"/>
      <w:lvlText w:val="%8."/>
      <w:lvlJc w:val="left"/>
      <w:pPr>
        <w:ind w:left="5579" w:hanging="0"/>
      </w:pPr>
    </w:lvl>
    <w:lvl w:ilvl="8">
      <w:start w:val="1"/>
      <w:numFmt w:val="lowerRoman"/>
      <w:suff w:val="tab"/>
      <w:lvlText w:val="%9."/>
      <w:lvlJc w:val="left"/>
      <w:pPr>
        <w:ind w:left="6479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1"/>
      <w:tmLastPosIdx w:val="364"/>
    </w:tmLastPosCaret>
    <w:tmLastPosAnchor>
      <w:tmLastPosPgfIdx w:val="0"/>
      <w:tmLastPosIdx w:val="0"/>
    </w:tmLastPosAnchor>
    <w:tmLastPosTblRect w:left="0" w:top="0" w:right="0" w:bottom="0"/>
  </w:tmLastPos>
  <w:tmAppRevision w:date="164361230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Normal (Web)"/>
    <w:qFormat/>
    <w:basedOn w:val="para0"/>
    <w:pPr>
      <w:spacing w:after="231" w:line="288" w:lineRule="atLeast"/>
    </w:pPr>
  </w:style>
  <w:style w:type="paragraph" w:styleId="para2" w:customStyle="1">
    <w:name w:val="ConsPlusCell"/>
    <w:qFormat/>
    <w:pPr>
      <w:widowControl w:val="0"/>
    </w:pPr>
    <w:rPr>
      <w:rFonts w:ascii="Arial" w:hAnsi="Arial" w:eastAsia="Calibri" w:cs="Arial"/>
      <w:sz w:val="24"/>
      <w:szCs w:val="24"/>
      <w:lang w:val="ru-ru" w:eastAsia="zh-cn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 w:customStyle="1">
    <w:name w:val="ConsPlusNormal"/>
    <w:qFormat/>
    <w:pPr>
      <w:widowControl w:val="0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5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Normal (Web)"/>
    <w:qFormat/>
    <w:basedOn w:val="para0"/>
    <w:pPr>
      <w:spacing w:after="231" w:line="288" w:lineRule="atLeast"/>
    </w:pPr>
  </w:style>
  <w:style w:type="paragraph" w:styleId="para2" w:customStyle="1">
    <w:name w:val="ConsPlusCell"/>
    <w:qFormat/>
    <w:pPr>
      <w:widowControl w:val="0"/>
    </w:pPr>
    <w:rPr>
      <w:rFonts w:ascii="Arial" w:hAnsi="Arial" w:eastAsia="Calibri" w:cs="Arial"/>
      <w:sz w:val="24"/>
      <w:szCs w:val="24"/>
      <w:lang w:val="ru-ru" w:eastAsia="zh-cn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 w:customStyle="1">
    <w:name w:val="ConsPlusNormal"/>
    <w:qFormat/>
    <w:pPr>
      <w:widowControl w:val="0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5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/>
  <cp:revision>16</cp:revision>
  <cp:lastPrinted>2021-01-26T09:06:00Z</cp:lastPrinted>
  <dcterms:created xsi:type="dcterms:W3CDTF">2021-01-25T15:03:00Z</dcterms:created>
  <dcterms:modified xsi:type="dcterms:W3CDTF">2022-01-31T06:58:20Z</dcterms:modified>
</cp:coreProperties>
</file>